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Nr.16/03/2023</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m.”Mežauļi”,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2023.gada 16.marts plkst.18.00. - 20.00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L.Broduža</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5</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Klātienē - U.Antona, L.Priede, L.Broduža, I.Boša, I.Kukle</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1. Par Gada pārskata sagatavošanu – informē Līga Broduža</w:t>
      </w:r>
      <w:r w:rsidDel="00000000" w:rsidR="00000000" w:rsidRPr="00000000">
        <w:rPr>
          <w:rtl w:val="0"/>
        </w:rPr>
      </w:r>
    </w:p>
    <w:p w:rsidR="00000000" w:rsidDel="00000000" w:rsidP="00000000" w:rsidRDefault="00000000" w:rsidRPr="00000000" w14:paraId="00000014">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2. Par Biedru kopsapulci</w:t>
      </w:r>
      <w:r w:rsidDel="00000000" w:rsidR="00000000" w:rsidRPr="00000000">
        <w:rPr>
          <w:rFonts w:ascii="Times New Roman" w:cs="Times New Roman" w:eastAsia="Times New Roman" w:hAnsi="Times New Roman"/>
          <w:i w:val="1"/>
          <w:color w:val="333333"/>
          <w:highlight w:val="white"/>
          <w:rtl w:val="0"/>
        </w:rPr>
        <w:t xml:space="preserve"> - informē Inese Kukle</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Par ārtelpas labiekārtojuma aptauju  - informē Līva Priede</w:t>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Par jauniešu braucienu uz Turiju - </w:t>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Nepieciešams sagatavot 2022.gada Gada pārskatu. Pārskata sagatavošanai iesniegt informāciju. Tiek pārrunātas 2022.gada aktivitātes, paveiktais.  Nepieciešams vienoties ar grāmatvedi par finanšu sadaļas sagatavošanu un ārpakalpojuma izmaksām grāmatvedei. </w:t>
      </w:r>
    </w:p>
    <w:p w:rsidR="00000000" w:rsidDel="00000000" w:rsidP="00000000" w:rsidRDefault="00000000" w:rsidRPr="00000000" w14:paraId="0000001B">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Gada pārskatu sagatavo Līga Broduža, Inese Kukle veic sarunu ar grāmatvedi</w:t>
      </w:r>
    </w:p>
    <w:p w:rsidR="00000000" w:rsidDel="00000000" w:rsidP="00000000" w:rsidRDefault="00000000" w:rsidRPr="00000000" w14:paraId="0000001C">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Tiek gatavots projekta pieteikums </w:t>
      </w:r>
      <w:r w:rsidDel="00000000" w:rsidR="00000000" w:rsidRPr="00000000">
        <w:rPr>
          <w:rFonts w:ascii="Times New Roman" w:cs="Times New Roman" w:eastAsia="Times New Roman" w:hAnsi="Times New Roman"/>
          <w:rtl w:val="0"/>
        </w:rPr>
        <w:t xml:space="preserve">Sabiedrības Integrācijas Fondam "Ķekavas novada kopienu sadarbība ģimenes vērtību stiprināšanā”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Projekta laikā tiks veidoti trīs tematiski atšķirīgi pasākumi,  jo katrs no tiem būs par godu kādai no ar ģimeni saistītai svinamai dienai – Mātes, Bērnu aizsardzības un Tēvu dienai, akcentējot konkrētā ģimenes locekļa lomu, misiju ģimenē un sabiedrībā kopumā. Lai veicinātu izpratni par ģimeniskām vērtībām, katrā pasākumā tiks veidota svinamajai dienai piemērota programma, liekot akcentu uz konkrēto ģimenes locekli. Aktivitātes plānotas Mežiniekos, Daugmalē un Baldonē.</w:t>
      </w:r>
      <w:r w:rsidDel="00000000" w:rsidR="00000000" w:rsidRPr="00000000">
        <w:rPr>
          <w:rtl w:val="0"/>
        </w:rPr>
      </w:r>
    </w:p>
    <w:p w:rsidR="00000000" w:rsidDel="00000000" w:rsidP="00000000" w:rsidRDefault="00000000" w:rsidRPr="00000000" w14:paraId="0000001E">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akceptēt projekta sagatavošanu un iesniegšanu SIF.</w:t>
      </w:r>
    </w:p>
    <w:p w:rsidR="00000000" w:rsidDel="00000000" w:rsidP="00000000" w:rsidRDefault="00000000" w:rsidRPr="00000000" w14:paraId="0000001F">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Tiek informēts, ka atbilstoši prasībam Valsts kases norēkinu kontu atlikums ir 0,00 euro. Aktuāli risināt finansējuma piesaisti biedrības darbības un aktivitāsu nodrošināšanai.</w:t>
      </w:r>
    </w:p>
    <w:p w:rsidR="00000000" w:rsidDel="00000000" w:rsidP="00000000" w:rsidRDefault="00000000" w:rsidRPr="00000000" w14:paraId="00000021">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pieņemt zināšanai sniegto informāciju</w:t>
      </w:r>
    </w:p>
    <w:p w:rsidR="00000000" w:rsidDel="00000000" w:rsidP="00000000" w:rsidRDefault="00000000" w:rsidRPr="00000000" w14:paraId="00000022">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Par nepieciešamību aktīvāk un savlaicīgi sniegt informāciju sociālajoes tīklos un mājas lapā. Par plānotajām aktivitātēm 2023.gadā - tradicionālie gadskārtu svētki, pašvaldības projekti. Ir ideja organizēt Garšas festivālu kopienas cilvekiem. Darbs ar biedriem un kopienas cilvekiem, to iesaiste gan aktivitāšu apmeklešanā, gan iesaiste to organizēšanā.</w:t>
      </w:r>
    </w:p>
    <w:p w:rsidR="00000000" w:rsidDel="00000000" w:rsidP="00000000" w:rsidRDefault="00000000" w:rsidRPr="00000000" w14:paraId="00000024">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organizēt aktivitātes atbilstoši valdes cilvēkresursiem, vēlmēm un iespējām.</w:t>
      </w:r>
    </w:p>
    <w:p w:rsidR="00000000" w:rsidDel="00000000" w:rsidP="00000000" w:rsidRDefault="00000000" w:rsidRPr="00000000" w14:paraId="00000025">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6">
      <w:pPr>
        <w:jc w:val="both"/>
        <w:rPr/>
      </w:pPr>
      <w:r w:rsidDel="00000000" w:rsidR="00000000" w:rsidRPr="00000000">
        <w:rPr>
          <w:rtl w:val="0"/>
        </w:rPr>
        <w:br w:type="textWrapping"/>
      </w:r>
    </w:p>
    <w:p w:rsidR="00000000" w:rsidDel="00000000" w:rsidP="00000000" w:rsidRDefault="00000000" w:rsidRPr="00000000" w14:paraId="0000002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2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2B">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57155</wp:posOffset>
          </wp:positionH>
          <wp:positionV relativeFrom="paragraph">
            <wp:posOffset>-228594</wp:posOffset>
          </wp:positionV>
          <wp:extent cx="909955" cy="909955"/>
          <wp:effectExtent b="0" l="0" r="0" t="0"/>
          <wp:wrapSquare wrapText="bothSides" distB="228600" distT="228600" distL="228600" distR="2286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2D">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2E">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139700</wp:posOffset>
              </wp:positionV>
              <wp:extent cx="6375400" cy="78740"/>
              <wp:effectExtent b="0" l="0" r="0" t="0"/>
              <wp:wrapNone/>
              <wp:docPr id="11"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139700</wp:posOffset>
              </wp:positionV>
              <wp:extent cx="6375400" cy="7874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75400" cy="78740"/>
                      </a:xfrm>
                      <a:prstGeom prst="rect"/>
                      <a:ln/>
                    </pic:spPr>
                  </pic:pic>
                </a:graphicData>
              </a:graphic>
            </wp:anchor>
          </w:drawing>
        </mc:Fallback>
      </mc:AlternateContent>
    </w:r>
  </w:p>
  <w:p w:rsidR="00000000" w:rsidDel="00000000" w:rsidP="00000000" w:rsidRDefault="00000000" w:rsidRPr="00000000" w14:paraId="00000030">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2T+Tr0g+d4BRBmUksP9+rlluQ==">CgMxLjA4AHIhMU9va2xiR2dDMjRQbWJFOFIzMG1sUUVQU3ZWVDBGTXR1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